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05-646</w:t>
      </w:r>
      <w:r>
        <w:rPr>
          <w:rFonts w:ascii="Times New Roman" w:eastAsia="Times New Roman" w:hAnsi="Times New Roman" w:cs="Times New Roman"/>
          <w:sz w:val="26"/>
          <w:szCs w:val="26"/>
        </w:rPr>
        <w:t>/2612/2026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RS</w:t>
      </w:r>
      <w:r>
        <w:rPr>
          <w:rFonts w:ascii="Times New Roman" w:eastAsia="Times New Roman" w:hAnsi="Times New Roman" w:cs="Times New Roman"/>
          <w:sz w:val="26"/>
          <w:szCs w:val="26"/>
        </w:rPr>
        <w:t>0001-01-2026-002141-72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Думлер Галина Павловна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находящийся по адресу: ХМАО-Югра, г. Сургут, ул. Гагарина, д. 9, каб. 402, рассмотрев дело об административном правонарушении, предусмотренном ст. 14.19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 юридического лица ООО «Голд»,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находящегося по адресу: г. Сургут, ул. Крылова, дом 43/1, кв. 42,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19.03.2026 года в период с 20 час. 16 мин.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20.03.2026 года в 00 час.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мин. по адресу: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магазин «Продукты» ООО «Голд»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допустило нарушение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учета в области оборота алкогольной продукции,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выразившееся в следующем: 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осуществляло оборот (хранение, розничную продажу) алкогольной и спиртосодержащей продукции, в 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установленного порядка учета алкогольной и спиртосодержащей продукции при их обороте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(розничной продажи, хранении), несвоевременной фиксации в ЕГАИС информации о розничной продаже алкогольной продукции,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за данное правонарушение предусмотрена ст. 14.19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«Голд»,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года № 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 считает возможным рассмотреть дело в отсутствие законного представителя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«Голд»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силу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5489/entry/140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абз. 1 п. 1 ст. 14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22.11.1995 г.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организации, осуществляющие производство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(или) оборот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</w:t>
      </w:r>
      <w:r>
        <w:rPr>
          <w:rFonts w:ascii="Times New Roman" w:eastAsia="Times New Roman" w:hAnsi="Times New Roman" w:cs="Times New Roman"/>
          <w:sz w:val="26"/>
          <w:szCs w:val="26"/>
        </w:rPr>
        <w:t>готовой продукции, обязаны осуществлять учет объема их производства и (или) оборота.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Пунктом 16 ст. 2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22.11.1995 г.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установлено, что под оборотом указанной продукции понимается закупка (в том числе импорт), поставка (в том числе экспорт), хранение, перевозка и розничная продажа алкогольной продукции.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абз. 8 п. 2 ст. 8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22.11.1995 г.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учет объема оборота этилового спирта, алкогольной и спиртосодержащей продукции осуществляется с применением технических средств фиксации и передачи информации </w:t>
      </w:r>
      <w:r>
        <w:rPr>
          <w:rFonts w:ascii="Times New Roman" w:eastAsia="Times New Roman" w:hAnsi="Times New Roman" w:cs="Times New Roman"/>
          <w:sz w:val="26"/>
          <w:szCs w:val="26"/>
        </w:rPr>
        <w:t>об объеме производства и оборота этилового спирта, алкогольной и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Кроме того,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абз. 21 п. 1 ст. 26 Федерального закона от 22.11.1995 г.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запрещается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производство и (или) оборот этилового спирта, алкогольной и спиртосодержащей продукции, информация о которых не зафиксирована в единой государственной автоматизированной информационной системе, за исключением случаев,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0105489/entry/80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пунктом 2.1 статьи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Федерального закона;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регулированию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рынка от 17.02.2020 года № </w:t>
      </w:r>
      <w:r>
        <w:rPr>
          <w:rFonts w:ascii="Times New Roman" w:eastAsia="Times New Roman" w:hAnsi="Times New Roman" w:cs="Times New Roman"/>
          <w:sz w:val="26"/>
          <w:szCs w:val="26"/>
        </w:rPr>
        <w:t>397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Приказ № 397)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утверждены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формы, порядок заполнения, форматы и сроки представления в электронном виде заявок о фиксации информации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10.2 Приказа № 397 заявка о фиксации в ЕГАИС информации о розничной продажи (возврате) алкогольной продукции, представляемой организациями или физическими лицами с каждого фактического места осуществления деятельности (торговой точки), направляется в момент оформления кассового чека,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содержащего в качестве товара на алкогольную продукцию.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Надлежащий учет оборота алкогольной продукции представляет собой своевременное внесение в ЕГАИС всех необходимых сведений о закупке, продаже, возврате, внутреннем перемещении между складом и торговым складом предприятия алкогольной продукции, в том числе списание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 брака и постановке на баланс продукции, обнаруженной в результате инвентаризации и по каким-либо причинам не учтенной в ЕГАИС.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ООО «Голд»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инкриминируемого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№ </w:t>
      </w:r>
      <w:r>
        <w:rPr>
          <w:rFonts w:ascii="Times New Roman" w:eastAsia="Times New Roman" w:hAnsi="Times New Roman" w:cs="Times New Roman"/>
          <w:sz w:val="26"/>
          <w:szCs w:val="26"/>
        </w:rPr>
        <w:t>39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определение о возбуждении дела об 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истративном правонарушении № 39/2026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 проведении административного расследования;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изъятия вещей и документов № 39/2026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акта внеплановой контрольной закупки от 20.03.2026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видеозапись к акту внеплановой контрольной закупки от 20.03.2026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эксперимента от 19.03.2026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осмотра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19.03.2026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протоколы запроса, сформированные в ЕГАИС в отношении алкогольной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фото-таблицами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исследованы следующие документы: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из государственного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ЕГРЮЛ.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«Голд»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</w:t>
      </w:r>
      <w:r>
        <w:rPr>
          <w:rFonts w:ascii="Times New Roman" w:eastAsia="Times New Roman" w:hAnsi="Times New Roman" w:cs="Times New Roman"/>
          <w:sz w:val="26"/>
          <w:szCs w:val="26"/>
        </w:rPr>
        <w:t>вой судья квалифицирует по ст. 14.19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установленного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порядка учета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объема производства, оборота и (или) использования этилового спирта, алкогольной и спиртосодержащей продукции или порядка учета использования производственных мощностей,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обстоятельствам, отягчающим административную ответственность, суд относит повторное совершение однородного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наличие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Изъятую согласно протоколу изъятия вещей и документов № 39/2026 от 20.03.2026 из незаконного оборота алкогольную продукцию подлежит направить на уничтожение,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разъяснений содержащихся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anchor="/document/12139487/entry/2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п.28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Пленума Верховного Суда Российской Федерации от 24 марта 2005 года N 5 "О некоторых вопросах, возникающих у судов при применении Кодекса</w:t>
      </w:r>
      <w:hyperlink r:id="rId7" w:anchor="/document/12125267/entry/0" w:history="1"/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".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ст. 29.9-29.11 КоАП РФ, мировой судья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Общество с ограниченной ответственностью «Голд» (ИНН 8602218954), признать виновным в совершении административного правонарушения, предусмотренного ст.14.19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и подвергнуть административному наказанию в виде штрафа в размере 150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</w:t>
      </w:r>
      <w:r>
        <w:rPr>
          <w:rFonts w:ascii="Times New Roman" w:eastAsia="Times New Roman" w:hAnsi="Times New Roman" w:cs="Times New Roman"/>
          <w:sz w:val="26"/>
          <w:szCs w:val="26"/>
        </w:rPr>
        <w:t>00 (сто пятьдесят тысяч)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Изъятую согласно протоколу изъятия вещей и документов № 39/2026 от 20.03.2026 года алкогольную продукцию направить на уничтожение в установленном законом порядке.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на следующие реквизиты: УФК по Ханты-Мансийскому автономному округу – Югре (Депэкономики Югры), л/с 04872025880, </w:t>
      </w:r>
      <w:r>
        <w:rPr>
          <w:rFonts w:ascii="Times New Roman" w:eastAsia="Times New Roman" w:hAnsi="Times New Roman" w:cs="Times New Roman"/>
          <w:sz w:val="26"/>
          <w:szCs w:val="26"/>
        </w:rPr>
        <w:t>ИНН 8601003963, КПП 860101001,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КЦ </w:t>
      </w:r>
      <w:r>
        <w:rPr>
          <w:rFonts w:ascii="Times New Roman" w:eastAsia="Times New Roman" w:hAnsi="Times New Roman" w:cs="Times New Roman"/>
          <w:sz w:val="26"/>
          <w:szCs w:val="26"/>
        </w:rPr>
        <w:t>№ 8 Уральского 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>, номер казначейского счета 03100643000000018700, ЕКС 4010281024537000</w:t>
      </w:r>
      <w:r>
        <w:rPr>
          <w:rFonts w:ascii="Times New Roman" w:eastAsia="Times New Roman" w:hAnsi="Times New Roman" w:cs="Times New Roman"/>
          <w:sz w:val="26"/>
          <w:szCs w:val="26"/>
        </w:rPr>
        <w:t>0007, БИК 007162163, ОКТМО 7187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000, КБК 60011601333010400140, УИН </w:t>
      </w:r>
      <w:r>
        <w:rPr>
          <w:rFonts w:ascii="Times New Roman" w:eastAsia="Times New Roman" w:hAnsi="Times New Roman" w:cs="Times New Roman"/>
          <w:sz w:val="26"/>
          <w:szCs w:val="26"/>
        </w:rPr>
        <w:t>0316373316042026153252542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предоставляется в 106 каб. д. 9 ул. Гагарина г. Сургута. Лица, несвоевременно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.2026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646</w:t>
      </w:r>
      <w:r>
        <w:rPr>
          <w:rFonts w:ascii="Times New Roman" w:eastAsia="Times New Roman" w:hAnsi="Times New Roman" w:cs="Times New Roman"/>
          <w:sz w:val="26"/>
          <w:szCs w:val="26"/>
        </w:rPr>
        <w:t>/2612/2026</w:t>
      </w:r>
    </w:p>
    <w:p>
      <w:pPr>
        <w:spacing w:before="0" w:after="0"/>
        <w:rPr>
          <w:sz w:val="26"/>
          <w:szCs w:val="26"/>
        </w:rPr>
      </w:pPr>
    </w:p>
    <w:sectPr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59805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www.consultant.ru/document/cons_doc_LAW_34661/dbae61dcd90d0d470190f6077eb5afedbaca564d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D1A1-429E-41D0-8D02-09FF8FDDD50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